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الدعم الفني وخدمة العملاء</w:t>
      </w:r>
    </w:p>
    <w:p>
      <w:pPr>
        <w:spacing w:after="320" w:line="288" w:lineRule="auto"/>
        <w:jc w:val="right"/>
        <w:bidi w:val="1"/>
      </w:pPr>
      <w:r>
        <w:rPr>
          <w:rFonts w:ascii="Arial" w:hAnsi="Arial" w:eastAsia="Arial" w:cs="Arial"/>
          <w:b/>
          <w:color w:val="0F7C86"/>
          <w:sz w:val="26"/>
          <w:rtl w:val="1"/>
        </w:rPr>
        <w:t>كل طلب عميل له متابعة… وكل مشكلة لها حل موثّق.</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إدارة الأعمال والعملاء</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45,000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3</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مركزي لتنظيم الاستفسارات والتذاكر والمحادثات وقاعدة المعرفة، بما يرفع جودة الخدمة ويمنح الإدارة رؤية واضحة للأداء. صُمم الحل ليعالج مباشرةً مشكلة ضياع شكاوى العملاء، بطء الردود، وعدم وجود سجل واضح للمتابعة.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تذاكر دعم منظمة</w:t>
      </w:r>
    </w:p>
    <w:p>
      <w:pPr>
        <w:spacing w:after="80" w:line="290" w:lineRule="auto"/>
        <w:jc w:val="right"/>
        <w:bidi w:val="1"/>
        <w:numPr>
          <w:ilvl w:val="0"/>
          <w:numId w:val="10"/>
        </w:numPr>
      </w:pPr>
      <w:r>
        <w:rPr>
          <w:rFonts w:ascii="Arial" w:hAnsi="Arial" w:eastAsia="Arial" w:cs="Arial"/>
          <w:color w:val="143044"/>
          <w:sz w:val="22"/>
          <w:rtl w:val="1"/>
        </w:rPr>
        <w:t>محادثات ورسائل داخلية</w:t>
      </w:r>
    </w:p>
    <w:p>
      <w:pPr>
        <w:spacing w:after="80" w:line="290" w:lineRule="auto"/>
        <w:jc w:val="right"/>
        <w:bidi w:val="1"/>
        <w:numPr>
          <w:ilvl w:val="0"/>
          <w:numId w:val="10"/>
        </w:numPr>
      </w:pPr>
      <w:r>
        <w:rPr>
          <w:rFonts w:ascii="Arial" w:hAnsi="Arial" w:eastAsia="Arial" w:cs="Arial"/>
          <w:color w:val="143044"/>
          <w:sz w:val="22"/>
          <w:rtl w:val="1"/>
        </w:rPr>
        <w:t>قاعدة معرفة وتقارير متابعة</w:t>
      </w:r>
    </w:p>
    <w:p>
      <w:pPr>
        <w:spacing w:after="80" w:line="290" w:lineRule="auto"/>
        <w:jc w:val="right"/>
        <w:bidi w:val="1"/>
        <w:numPr>
          <w:ilvl w:val="0"/>
          <w:numId w:val="10"/>
        </w:numPr>
      </w:pPr>
      <w:r>
        <w:rPr>
          <w:rFonts w:ascii="Arial" w:hAnsi="Arial" w:eastAsia="Arial" w:cs="Arial"/>
          <w:color w:val="143044"/>
          <w:sz w:val="22"/>
          <w:rtl w:val="1"/>
        </w:rPr>
        <w:t>تصنيف التذاكر حسب الأولوية والقسم والحالة</w:t>
      </w:r>
    </w:p>
    <w:p>
      <w:pPr>
        <w:spacing w:after="80" w:line="290" w:lineRule="auto"/>
        <w:jc w:val="right"/>
        <w:bidi w:val="1"/>
        <w:numPr>
          <w:ilvl w:val="0"/>
          <w:numId w:val="10"/>
        </w:numPr>
      </w:pPr>
      <w:r>
        <w:rPr>
          <w:rFonts w:ascii="Arial" w:hAnsi="Arial" w:eastAsia="Arial" w:cs="Arial"/>
          <w:color w:val="143044"/>
          <w:sz w:val="22"/>
          <w:rtl w:val="1"/>
        </w:rPr>
        <w:t>إسناد الطلبات للموظفين ومتابعة زمن الاستجابة</w:t>
      </w:r>
    </w:p>
    <w:p>
      <w:pPr>
        <w:spacing w:after="80" w:line="290" w:lineRule="auto"/>
        <w:jc w:val="right"/>
        <w:bidi w:val="1"/>
        <w:numPr>
          <w:ilvl w:val="0"/>
          <w:numId w:val="10"/>
        </w:numPr>
      </w:pPr>
      <w:r>
        <w:rPr>
          <w:rFonts w:ascii="Arial" w:hAnsi="Arial" w:eastAsia="Arial" w:cs="Arial"/>
          <w:color w:val="143044"/>
          <w:sz w:val="22"/>
          <w:rtl w:val="1"/>
        </w:rPr>
        <w:t>سجل كامل للمحادثات والإجراءات</w:t>
      </w:r>
    </w:p>
    <w:p>
      <w:pPr>
        <w:spacing w:after="80" w:line="290" w:lineRule="auto"/>
        <w:jc w:val="right"/>
        <w:bidi w:val="1"/>
        <w:numPr>
          <w:ilvl w:val="0"/>
          <w:numId w:val="10"/>
        </w:numPr>
      </w:pPr>
      <w:r>
        <w:rPr>
          <w:rFonts w:ascii="Arial" w:hAnsi="Arial" w:eastAsia="Arial" w:cs="Arial"/>
          <w:color w:val="143044"/>
          <w:sz w:val="22"/>
          <w:rtl w:val="1"/>
        </w:rPr>
        <w:t>لوحات قياس لأحجام الطلبات وجودة الخدمة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توحيد السجلات بدل الملفات المتفرقة</w:t>
      </w:r>
    </w:p>
    <w:p>
      <w:pPr>
        <w:spacing w:after="80" w:line="290" w:lineRule="auto"/>
        <w:jc w:val="right"/>
        <w:bidi w:val="1"/>
        <w:numPr>
          <w:ilvl w:val="0"/>
          <w:numId w:val="10"/>
        </w:numPr>
      </w:pPr>
      <w:r>
        <w:rPr>
          <w:rFonts w:ascii="Arial" w:hAnsi="Arial" w:eastAsia="Arial" w:cs="Arial"/>
          <w:color w:val="143044"/>
          <w:sz w:val="22"/>
          <w:rtl w:val="1"/>
        </w:rPr>
        <w:t>تسريع المتابعة والاعتماد بين الفرق</w:t>
      </w:r>
    </w:p>
    <w:p>
      <w:pPr>
        <w:spacing w:after="80" w:line="290" w:lineRule="auto"/>
        <w:jc w:val="right"/>
        <w:bidi w:val="1"/>
        <w:numPr>
          <w:ilvl w:val="0"/>
          <w:numId w:val="10"/>
        </w:numPr>
      </w:pPr>
      <w:r>
        <w:rPr>
          <w:rFonts w:ascii="Arial" w:hAnsi="Arial" w:eastAsia="Arial" w:cs="Arial"/>
          <w:color w:val="143044"/>
          <w:sz w:val="22"/>
          <w:rtl w:val="1"/>
        </w:rPr>
        <w:t>إتاحة مؤشرات تساعد الإدارة على القرار</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خدمات تريد منع ضياع شكاوى العملاء</w:t>
      </w:r>
    </w:p>
    <w:p>
      <w:pPr>
        <w:spacing w:after="80" w:line="290" w:lineRule="auto"/>
        <w:jc w:val="right"/>
        <w:bidi w:val="1"/>
        <w:numPr>
          <w:ilvl w:val="0"/>
          <w:numId w:val="10"/>
        </w:numPr>
      </w:pPr>
      <w:r>
        <w:rPr>
          <w:rFonts w:ascii="Arial" w:hAnsi="Arial" w:eastAsia="Arial" w:cs="Arial"/>
          <w:color w:val="143044"/>
          <w:sz w:val="22"/>
          <w:rtl w:val="1"/>
        </w:rPr>
        <w:t>متجر إلكتروني يحتاج متابعة ما بعد البيع</w:t>
      </w:r>
    </w:p>
    <w:p>
      <w:pPr>
        <w:spacing w:after="80" w:line="290" w:lineRule="auto"/>
        <w:jc w:val="right"/>
        <w:bidi w:val="1"/>
        <w:numPr>
          <w:ilvl w:val="0"/>
          <w:numId w:val="10"/>
        </w:numPr>
      </w:pPr>
      <w:r>
        <w:rPr>
          <w:rFonts w:ascii="Arial" w:hAnsi="Arial" w:eastAsia="Arial" w:cs="Arial"/>
          <w:color w:val="143044"/>
          <w:sz w:val="22"/>
          <w:rtl w:val="1"/>
        </w:rPr>
        <w:t>مركز صيانة يدير البلاغات والتصعيد</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Support</w:t>
        </w:r>
      </w:hyperlink>
    </w:p>
    <w:p>
      <w:pPr>
        <w:spacing w:after="100"/>
        <w:jc w:val="right"/>
        <w:bidi w:val="1"/>
      </w:pPr>
      <w:hyperlink r:id="rId12">
        <w:r>
          <w:rPr>
            <w:rFonts w:ascii="Arial" w:hAnsi="Arial" w:eastAsia="Arial" w:cs="Arial"/>
            <w:color w:val="0F7C86"/>
            <w:b/>
            <w:u w:val="single"/>
            <w:rtl w:val="1"/>
          </w:rPr>
          <w:t>الدعم الفنى للكنائس الأسقفية</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45,000 جنيه مصري للترخيص الأساسي. اشتراك شهري أو ترخيص مؤسسي.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الدعم الفني وخدمة العملاء</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support" TargetMode="External"/><Relationship Id="rId12" Type="http://schemas.openxmlformats.org/officeDocument/2006/relationships/hyperlink" Target="https://play.google.com/store/apps/details?id=com.alexandria.support" TargetMode="External"/><Relationship Id="rId13" Type="http://schemas.openxmlformats.org/officeDocument/2006/relationships/hyperlink" Target="https://arkanalhekma.com/checkout/customer-support-crm/" TargetMode="External"/><Relationship Id="rId14" Type="http://schemas.openxmlformats.org/officeDocument/2006/relationships/hyperlink" Target="https://arkanalhekma.com/product/customer-support-crm/"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الدعم الفني وخدمة العملاء</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